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A4F24" w14:textId="77777777" w:rsidR="00720976" w:rsidRPr="00720976" w:rsidRDefault="00720976" w:rsidP="00720976">
      <w:pPr>
        <w:rPr>
          <w:lang w:val="en-NL"/>
        </w:rPr>
      </w:pPr>
      <w:r w:rsidRPr="00720976">
        <w:rPr>
          <w:b/>
          <w:bCs/>
          <w:lang w:val="en-NL"/>
        </w:rPr>
        <w:t>REWARD FUNCTION COMPONENTS AND DESCRIPTIONS</w:t>
      </w:r>
    </w:p>
    <w:p w14:paraId="3E9AF464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Cost_EnergyImport</w:t>
      </w:r>
      <w:proofErr w:type="spellEnd"/>
      <w:r w:rsidRPr="00720976">
        <w:rPr>
          <w:lang w:val="en-NL"/>
        </w:rPr>
        <w:t xml:space="preserve"> – Penalizes buying electricity from the grid; higher grid import cost per kWh leads to more negative reward.</w:t>
      </w:r>
    </w:p>
    <w:p w14:paraId="599E71C6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Revenue_EnergyExport</w:t>
      </w:r>
      <w:proofErr w:type="spellEnd"/>
      <w:r w:rsidRPr="00720976">
        <w:rPr>
          <w:lang w:val="en-NL"/>
        </w:rPr>
        <w:t xml:space="preserve"> – Rewards selling excess electricity back to the grid; more export at high price increases positive reward.</w:t>
      </w:r>
    </w:p>
    <w:p w14:paraId="2E7FA3C7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Cost_DemandPeak</w:t>
      </w:r>
      <w:proofErr w:type="spellEnd"/>
      <w:r w:rsidRPr="00720976">
        <w:rPr>
          <w:lang w:val="en-NL"/>
        </w:rPr>
        <w:t xml:space="preserve"> – Penalizes high instantaneous grid power import peaks that could increase demand charges on the electricity bill.</w:t>
      </w:r>
    </w:p>
    <w:p w14:paraId="71BAE3E1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Cost_FuelCellHydrogenUse</w:t>
      </w:r>
      <w:proofErr w:type="spellEnd"/>
      <w:r w:rsidRPr="00720976">
        <w:rPr>
          <w:lang w:val="en-NL"/>
        </w:rPr>
        <w:t xml:space="preserve"> – Penalizes hydrogen consumption by the fuel cell to reflect the value of stored hydrogen for future emergencies.</w:t>
      </w:r>
    </w:p>
    <w:p w14:paraId="29C51FBB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Cost_ElectrolyzerEnergyUse</w:t>
      </w:r>
      <w:proofErr w:type="spellEnd"/>
      <w:r w:rsidRPr="00720976">
        <w:rPr>
          <w:lang w:val="en-NL"/>
        </w:rPr>
        <w:t xml:space="preserve"> – Penalizes energy consumed by the electrolyzer so it does not waste electricity when hydrogen is not needed.</w:t>
      </w:r>
    </w:p>
    <w:p w14:paraId="0A5F1F7B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Penalty_UnservedCriticalLoad</w:t>
      </w:r>
      <w:proofErr w:type="spellEnd"/>
      <w:r w:rsidRPr="00720976">
        <w:rPr>
          <w:lang w:val="en-NL"/>
        </w:rPr>
        <w:t xml:space="preserve"> – Very strong penalty when critical hospital loads are not fully supplied; represents risk to patient safety and must dominate the reward.</w:t>
      </w:r>
    </w:p>
    <w:p w14:paraId="7E475D4A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Penalty_UnservedNonCriticalLoad</w:t>
      </w:r>
      <w:proofErr w:type="spellEnd"/>
      <w:r w:rsidRPr="00720976">
        <w:rPr>
          <w:lang w:val="en-NL"/>
        </w:rPr>
        <w:t xml:space="preserve"> – Smaller penalty when non-critical loads are curtailed; this allows controlled load shedding but still discourages unnecessary discomfort.</w:t>
      </w:r>
    </w:p>
    <w:p w14:paraId="12D2D526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Penalty_GridOutageViolation</w:t>
      </w:r>
      <w:proofErr w:type="spellEnd"/>
      <w:r w:rsidRPr="00720976">
        <w:rPr>
          <w:lang w:val="en-NL"/>
        </w:rPr>
        <w:t xml:space="preserve"> – Penalty applied when the microgrid fails to maintain supply during a grid outage despite having theoretical local resources to do so.</w:t>
      </w:r>
    </w:p>
    <w:p w14:paraId="3D47D09F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Reward_BatterySOC_Stability</w:t>
      </w:r>
      <w:proofErr w:type="spellEnd"/>
      <w:r w:rsidRPr="00720976">
        <w:rPr>
          <w:lang w:val="en-NL"/>
        </w:rPr>
        <w:t xml:space="preserve"> – Rewards keeping the battery state of charge within a desirable mid-range band, avoiding both deep discharge and overcharge regions.</w:t>
      </w:r>
    </w:p>
    <w:p w14:paraId="071B37FC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Penalty_BatteryDeepDischarge</w:t>
      </w:r>
      <w:proofErr w:type="spellEnd"/>
      <w:r w:rsidRPr="00720976">
        <w:rPr>
          <w:lang w:val="en-NL"/>
        </w:rPr>
        <w:t xml:space="preserve"> – Extra penalty when the battery SOC falls below a critical threshold (e.g., 20%), representing accelerated degradation and risk of blackout.</w:t>
      </w:r>
    </w:p>
    <w:p w14:paraId="3A3F7851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Penalty_BatteryHighSOC</w:t>
      </w:r>
      <w:proofErr w:type="spellEnd"/>
      <w:r w:rsidRPr="00720976">
        <w:rPr>
          <w:lang w:val="en-NL"/>
        </w:rPr>
        <w:t xml:space="preserve"> – Penalty when battery SOC stays too close to 100% for long periods, representing stress and lack of usable headroom.</w:t>
      </w:r>
    </w:p>
    <w:p w14:paraId="2FF796FD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Penalty_BatteryC_Rate</w:t>
      </w:r>
      <w:proofErr w:type="spellEnd"/>
      <w:r w:rsidRPr="00720976">
        <w:rPr>
          <w:lang w:val="en-NL"/>
        </w:rPr>
        <w:t xml:space="preserve"> – Penalizes very high charge or discharge power relative to capacity (high C-rates), which accelerates battery wear.</w:t>
      </w:r>
    </w:p>
    <w:p w14:paraId="48684066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Penalty_FuelCellRamping</w:t>
      </w:r>
      <w:proofErr w:type="spellEnd"/>
      <w:r w:rsidRPr="00720976">
        <w:rPr>
          <w:lang w:val="en-NL"/>
        </w:rPr>
        <w:t xml:space="preserve"> – Penalizes rapid changes in fuel cell power setpoint to avoid thermal and mechanical stress on the stack.</w:t>
      </w:r>
    </w:p>
    <w:p w14:paraId="627B76BF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Penalty_ElectrolyzerRamping</w:t>
      </w:r>
      <w:proofErr w:type="spellEnd"/>
      <w:r w:rsidRPr="00720976">
        <w:rPr>
          <w:lang w:val="en-NL"/>
        </w:rPr>
        <w:t xml:space="preserve"> – Penalizes large power swings in the electrolyzer to prevent efficiency loss and extend stack lifetime.</w:t>
      </w:r>
    </w:p>
    <w:p w14:paraId="35877A98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Penalty_TemperatureLimits</w:t>
      </w:r>
      <w:proofErr w:type="spellEnd"/>
      <w:r w:rsidRPr="00720976">
        <w:rPr>
          <w:lang w:val="en-NL"/>
        </w:rPr>
        <w:t xml:space="preserve"> – Penalty if any component (battery, fuel cell, electrolyzer, inverter) operates outside its safe temperature band.</w:t>
      </w:r>
    </w:p>
    <w:p w14:paraId="2976E0B4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lastRenderedPageBreak/>
        <w:t>Penalty_HydrogenOverfill</w:t>
      </w:r>
      <w:proofErr w:type="spellEnd"/>
      <w:r w:rsidRPr="00720976">
        <w:rPr>
          <w:lang w:val="en-NL"/>
        </w:rPr>
        <w:t xml:space="preserve"> – Strong penalty when hydrogen tank level approaches or exceeds safe storage capacity.</w:t>
      </w:r>
    </w:p>
    <w:p w14:paraId="509717CE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Reward_HydrogenStrategicReserve</w:t>
      </w:r>
      <w:proofErr w:type="spellEnd"/>
      <w:r w:rsidRPr="00720976">
        <w:rPr>
          <w:lang w:val="en-NL"/>
        </w:rPr>
        <w:t xml:space="preserve"> – Rewards keeping hydrogen level above a minimum strategic reserve threshold for blackout resilience.</w:t>
      </w:r>
    </w:p>
    <w:p w14:paraId="4F791F70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Reward_RenewableUtilization</w:t>
      </w:r>
      <w:proofErr w:type="spellEnd"/>
      <w:r w:rsidRPr="00720976">
        <w:rPr>
          <w:lang w:val="en-NL"/>
        </w:rPr>
        <w:t xml:space="preserve"> – Rewards using locally generated solar power instead of drawing from the grid, reflecting decarbonization and self-consumption goals.</w:t>
      </w:r>
    </w:p>
    <w:p w14:paraId="74B7F136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Penalty_CurtailmentPV</w:t>
      </w:r>
      <w:proofErr w:type="spellEnd"/>
      <w:r w:rsidRPr="00720976">
        <w:rPr>
          <w:lang w:val="en-NL"/>
        </w:rPr>
        <w:t xml:space="preserve"> – Penalizes curtailing PV generation (turning down solar output) when there is still unserved load or available storage capacity.</w:t>
      </w:r>
    </w:p>
    <w:p w14:paraId="4FADA98A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Reward_EmissionReduction</w:t>
      </w:r>
      <w:proofErr w:type="spellEnd"/>
      <w:r w:rsidRPr="00720976">
        <w:rPr>
          <w:lang w:val="en-NL"/>
        </w:rPr>
        <w:t xml:space="preserve"> – Rewards operating modes that correspond to lower CO₂ emissions (e.g., less grid power during high-carbon periods, more use of PV and stored hydrogen).</w:t>
      </w:r>
    </w:p>
    <w:p w14:paraId="544DF5F6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Penalty_SwitchingFrequency</w:t>
      </w:r>
      <w:proofErr w:type="spellEnd"/>
      <w:r w:rsidRPr="00720976">
        <w:rPr>
          <w:lang w:val="en-NL"/>
        </w:rPr>
        <w:t xml:space="preserve"> – Penalizes excessively frequent switching of modes (battery charge/discharge, fuel cell on/off, electrolyzer on/off) to avoid wear and control instability.</w:t>
      </w:r>
    </w:p>
    <w:p w14:paraId="4DE1CE9C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Penalty_VoltageFrequencyDeviation</w:t>
      </w:r>
      <w:proofErr w:type="spellEnd"/>
      <w:r w:rsidRPr="00720976">
        <w:rPr>
          <w:lang w:val="en-NL"/>
        </w:rPr>
        <w:t xml:space="preserve"> – Penalty when microgrid bus voltage or frequency deviates outside specified tolerance, representing power quality issues.</w:t>
      </w:r>
    </w:p>
    <w:p w14:paraId="6AC01441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Reward_ComfortHVAC</w:t>
      </w:r>
      <w:proofErr w:type="spellEnd"/>
      <w:r w:rsidRPr="00720976">
        <w:rPr>
          <w:lang w:val="en-NL"/>
        </w:rPr>
        <w:t xml:space="preserve"> – Rewards keeping indoor climate (temperature or inferred comfort) within a comfortable range while still being energy efficient.</w:t>
      </w:r>
    </w:p>
    <w:p w14:paraId="65D5FCCB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Penalty_ConstraintViolation</w:t>
      </w:r>
      <w:proofErr w:type="spellEnd"/>
      <w:r w:rsidRPr="00720976">
        <w:rPr>
          <w:lang w:val="en-NL"/>
        </w:rPr>
        <w:t xml:space="preserve"> – Generic penalty term that triggers when any hard operational constraint is violated (safety limits, reserve margins, equipment operating envelopes).</w:t>
      </w:r>
    </w:p>
    <w:p w14:paraId="5D4FE943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Reward_ResilienceScore</w:t>
      </w:r>
      <w:proofErr w:type="spellEnd"/>
      <w:r w:rsidRPr="00720976">
        <w:rPr>
          <w:lang w:val="en-NL"/>
        </w:rPr>
        <w:t xml:space="preserve"> – Composite reward for meeting resilience objectives during disturbances (grid outage, sudden load spikes, PV drops), e.g., no loss of critical load over an event window.</w:t>
      </w:r>
    </w:p>
    <w:p w14:paraId="5DB4904C" w14:textId="77777777" w:rsidR="00720976" w:rsidRPr="00720976" w:rsidRDefault="00720976" w:rsidP="00720976">
      <w:pPr>
        <w:rPr>
          <w:lang w:val="en-NL"/>
        </w:rPr>
      </w:pPr>
      <w:proofErr w:type="spellStart"/>
      <w:r w:rsidRPr="00720976">
        <w:rPr>
          <w:lang w:val="en-NL"/>
        </w:rPr>
        <w:t>Reward_PredictionTracking</w:t>
      </w:r>
      <w:proofErr w:type="spellEnd"/>
      <w:r w:rsidRPr="00720976">
        <w:rPr>
          <w:lang w:val="en-NL"/>
        </w:rPr>
        <w:t xml:space="preserve"> – Rewards the controller when actual system evolution matches its internal forecasts (for load or PV), encouraging actions that reduce forecast error impact.</w:t>
      </w:r>
    </w:p>
    <w:p w14:paraId="7D362697" w14:textId="77777777" w:rsidR="00CE7575" w:rsidRPr="00720976" w:rsidRDefault="00CE7575">
      <w:pPr>
        <w:rPr>
          <w:lang w:val="en-NL"/>
        </w:rPr>
      </w:pPr>
    </w:p>
    <w:sectPr w:rsidR="00CE7575" w:rsidRPr="007209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C7350"/>
    <w:multiLevelType w:val="multilevel"/>
    <w:tmpl w:val="174E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424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76"/>
    <w:rsid w:val="003E3C54"/>
    <w:rsid w:val="005476C0"/>
    <w:rsid w:val="00720976"/>
    <w:rsid w:val="00CE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473969"/>
  <w15:chartTrackingRefBased/>
  <w15:docId w15:val="{19E868AB-747D-45CE-AD8F-64FBCC3B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9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9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9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9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9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9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9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9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9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9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9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9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9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Ramaraj, Krishaanth</dc:creator>
  <cp:keywords/>
  <dc:description/>
  <cp:lastModifiedBy>Ramaraj, Krishaanth</cp:lastModifiedBy>
  <cp:revision>1</cp:revision>
  <dcterms:created xsi:type="dcterms:W3CDTF">2025-11-27T19:20:00Z</dcterms:created>
  <dcterms:modified xsi:type="dcterms:W3CDTF">2025-11-27T19:20:00Z</dcterms:modified>
</cp:coreProperties>
</file>